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59FE">
      <w:pPr>
        <w:rPr>
          <w:rFonts w:hint="eastAsia"/>
        </w:rPr>
      </w:pPr>
      <w:bookmarkStart w:id="0" w:name="_GoBack"/>
      <w:bookmarkEnd w:id="0"/>
    </w:p>
    <w:p w14:paraId="69755DF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供应商资格条件</w:t>
      </w:r>
    </w:p>
    <w:p w14:paraId="490773DE">
      <w:pPr>
        <w:rPr>
          <w:rFonts w:hint="eastAsia"/>
          <w:sz w:val="28"/>
          <w:szCs w:val="28"/>
        </w:rPr>
      </w:pPr>
      <w:r>
        <w:rPr>
          <w:rFonts w:hint="eastAsia"/>
        </w:rPr>
        <w:t>       </w:t>
      </w:r>
      <w:r>
        <w:rPr>
          <w:rFonts w:hint="eastAsia"/>
          <w:sz w:val="28"/>
          <w:szCs w:val="28"/>
        </w:rPr>
        <w:t>资格要求：</w:t>
      </w:r>
    </w:p>
    <w:p w14:paraId="511D4C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1. 营业范围要求：在中华人民共和国境内依法注册、具有法人资格、具有招标物资生产供应经验的生产商或代理商；代理商必须取得生产商的授权，生产商与其授权的代理商不得参与同一包件投标；应具备增值税一般纳税人资格并提供证明资料，能开具增值税专用发票；</w:t>
      </w:r>
    </w:p>
    <w:p w14:paraId="14453E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2.财务能力要求：代理商注册资金不低于50万元人民币，具有良好的资金财务状况；</w:t>
      </w:r>
    </w:p>
    <w:p w14:paraId="528BC1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 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 质量保证能力要求：投标供应商应保证产品必须是全新、未使用过的原装合格正品，完全符合采购文件规定的质量、规格和性能的要求；生产商具有完善的产品质量保证体系（有效的ISO9000质量管理体系认证书）和管理制度；</w:t>
      </w:r>
    </w:p>
    <w:p w14:paraId="58985A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     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.履约信用要求：履约信用良好，近年经营活动中无重大安全、质量事故、合同争议纠纷引起的违法行为记录及有关行政处罚等相关情况。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zg3MmU5YmQ2ZjZhNGQ4NWY4NzAxYmM2MzViYmMifQ=="/>
    <w:docVar w:name="KSO_WPS_MARK_KEY" w:val="788fc0ae-a5c2-4103-878f-3f391a2fe8ab"/>
  </w:docVars>
  <w:rsids>
    <w:rsidRoot w:val="0D9B221C"/>
    <w:rsid w:val="0D9B221C"/>
    <w:rsid w:val="41A57095"/>
    <w:rsid w:val="43F2096C"/>
    <w:rsid w:val="628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341</Characters>
  <Lines>0</Lines>
  <Paragraphs>0</Paragraphs>
  <TotalTime>1129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2024-05-08T09:31:00Z</dcterms:created>
  <dc:creator>翀</dc:creator>
  <cp:lastModifiedBy>翀</cp:lastModifiedBy>
  <cp:lastPrinted>2024-05-15T07:22:00Z</cp:lastPrinted>
  <dcterms:modified xsi:type="dcterms:W3CDTF">2024-09-23T01:12:38Z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D6FE7009D09740FBA999C69B36D4DAA0_13</vt:lpwstr>
  </property>
</Properties>
</file>